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DA4206" w:rsidRDefault="00DA4206" w:rsidP="00DA4206">
      <w:pPr>
        <w:tabs>
          <w:tab w:val="right" w:leader="underscore" w:pos="8505"/>
        </w:tabs>
        <w:spacing w:line="276" w:lineRule="auto"/>
        <w:ind w:firstLine="56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ЖИЛИЩНОЕ </w:t>
      </w:r>
      <w:r w:rsidRPr="00387A49">
        <w:rPr>
          <w:b/>
          <w:bCs/>
          <w:sz w:val="32"/>
          <w:szCs w:val="32"/>
        </w:rPr>
        <w:t>ПРАВО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7723"/>
      </w:tblGrid>
      <w:tr w:rsidR="00DA4206" w:rsidRPr="004D2A86" w:rsidTr="007D1DD2">
        <w:trPr>
          <w:jc w:val="center"/>
        </w:trPr>
        <w:tc>
          <w:tcPr>
            <w:tcW w:w="1465" w:type="dxa"/>
            <w:vAlign w:val="center"/>
          </w:tcPr>
          <w:p w:rsidR="00DA4206" w:rsidRPr="004D2A86" w:rsidRDefault="00DA4206" w:rsidP="007D1DD2">
            <w:pPr>
              <w:spacing w:line="276" w:lineRule="auto"/>
              <w:ind w:left="-142" w:right="-10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D2A86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23" w:type="dxa"/>
            <w:vAlign w:val="center"/>
          </w:tcPr>
          <w:p w:rsidR="00DA4206" w:rsidRPr="004D2A86" w:rsidRDefault="00DA4206" w:rsidP="007D1D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A86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DA4206" w:rsidRPr="004D2A86" w:rsidTr="007D1DD2">
        <w:trPr>
          <w:jc w:val="center"/>
        </w:trPr>
        <w:tc>
          <w:tcPr>
            <w:tcW w:w="1465" w:type="dxa"/>
            <w:vAlign w:val="center"/>
          </w:tcPr>
          <w:p w:rsidR="00DA4206" w:rsidRPr="00DA4206" w:rsidRDefault="00DA4206" w:rsidP="007D1DD2">
            <w:pPr>
              <w:spacing w:line="276" w:lineRule="auto"/>
              <w:ind w:left="-142" w:right="-108" w:firstLine="142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7723" w:type="dxa"/>
            <w:vAlign w:val="center"/>
          </w:tcPr>
          <w:p w:rsidR="00DA4206" w:rsidRPr="004D2A86" w:rsidRDefault="00DA4206" w:rsidP="007D1DD2">
            <w:pPr>
              <w:spacing w:line="276" w:lineRule="auto"/>
              <w:rPr>
                <w:b/>
                <w:sz w:val="24"/>
                <w:szCs w:val="24"/>
              </w:rPr>
            </w:pPr>
            <w:r w:rsidRPr="004D2A86">
              <w:rPr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DA4206" w:rsidRPr="004D2A86" w:rsidTr="007D1DD2">
        <w:trPr>
          <w:jc w:val="center"/>
        </w:trPr>
        <w:tc>
          <w:tcPr>
            <w:tcW w:w="1465" w:type="dxa"/>
          </w:tcPr>
          <w:p w:rsidR="00DA4206" w:rsidRPr="00DA4206" w:rsidRDefault="00DA4206" w:rsidP="007D1DD2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4206">
              <w:rPr>
                <w:rFonts w:eastAsia="Calibri"/>
                <w:b/>
                <w:sz w:val="24"/>
                <w:szCs w:val="24"/>
              </w:rPr>
              <w:t>ОПК-1</w:t>
            </w:r>
          </w:p>
        </w:tc>
        <w:tc>
          <w:tcPr>
            <w:tcW w:w="7723" w:type="dxa"/>
            <w:vAlign w:val="center"/>
          </w:tcPr>
          <w:p w:rsidR="00DA4206" w:rsidRPr="004D2A86" w:rsidRDefault="00DA4206" w:rsidP="007D1DD2">
            <w:pPr>
              <w:spacing w:line="276" w:lineRule="auto"/>
              <w:rPr>
                <w:sz w:val="24"/>
                <w:szCs w:val="24"/>
              </w:rPr>
            </w:pPr>
            <w:r w:rsidRPr="004D2A86">
              <w:rPr>
                <w:color w:val="000000"/>
                <w:sz w:val="24"/>
                <w:szCs w:val="24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DA4206" w:rsidRPr="004D2A86" w:rsidTr="007D1DD2">
        <w:trPr>
          <w:jc w:val="center"/>
        </w:trPr>
        <w:tc>
          <w:tcPr>
            <w:tcW w:w="1465" w:type="dxa"/>
          </w:tcPr>
          <w:p w:rsidR="00DA4206" w:rsidRPr="00DA4206" w:rsidRDefault="00DA4206" w:rsidP="007D1DD2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4206">
              <w:rPr>
                <w:rFonts w:eastAsia="Calibri"/>
                <w:b/>
                <w:sz w:val="24"/>
                <w:szCs w:val="24"/>
              </w:rPr>
              <w:t>ОПК-3</w:t>
            </w:r>
          </w:p>
        </w:tc>
        <w:tc>
          <w:tcPr>
            <w:tcW w:w="7723" w:type="dxa"/>
            <w:vAlign w:val="center"/>
          </w:tcPr>
          <w:p w:rsidR="00DA4206" w:rsidRPr="004D2A86" w:rsidRDefault="00DA4206" w:rsidP="007D1DD2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D2A86">
              <w:rPr>
                <w:color w:val="000000"/>
                <w:sz w:val="24"/>
                <w:szCs w:val="24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</w:tr>
      <w:tr w:rsidR="00DA4206" w:rsidRPr="004D2A86" w:rsidTr="007D1DD2">
        <w:trPr>
          <w:jc w:val="center"/>
        </w:trPr>
        <w:tc>
          <w:tcPr>
            <w:tcW w:w="1465" w:type="dxa"/>
          </w:tcPr>
          <w:p w:rsidR="00DA4206" w:rsidRPr="00DA4206" w:rsidRDefault="00DA4206" w:rsidP="007D1DD2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4206">
              <w:rPr>
                <w:rFonts w:eastAsia="Calibri"/>
                <w:b/>
                <w:sz w:val="24"/>
                <w:szCs w:val="24"/>
              </w:rPr>
              <w:t>ОПК-5</w:t>
            </w:r>
          </w:p>
        </w:tc>
        <w:tc>
          <w:tcPr>
            <w:tcW w:w="7723" w:type="dxa"/>
            <w:vAlign w:val="center"/>
          </w:tcPr>
          <w:p w:rsidR="00DA4206" w:rsidRPr="004D2A86" w:rsidRDefault="00DA4206" w:rsidP="007D1DD2">
            <w:pPr>
              <w:spacing w:line="276" w:lineRule="auto"/>
              <w:rPr>
                <w:sz w:val="24"/>
                <w:szCs w:val="24"/>
              </w:rPr>
            </w:pPr>
            <w:r w:rsidRPr="004D2A86">
              <w:rPr>
                <w:color w:val="000000"/>
                <w:sz w:val="24"/>
                <w:szCs w:val="24"/>
              </w:rPr>
              <w:t>Способность  логически верно, аргументированно и ясно строить устную и письменную речь</w:t>
            </w:r>
          </w:p>
        </w:tc>
      </w:tr>
      <w:tr w:rsidR="00DA4206" w:rsidRPr="004D2A86" w:rsidTr="007D1DD2">
        <w:trPr>
          <w:jc w:val="center"/>
        </w:trPr>
        <w:tc>
          <w:tcPr>
            <w:tcW w:w="1465" w:type="dxa"/>
          </w:tcPr>
          <w:p w:rsidR="00DA4206" w:rsidRPr="00DA4206" w:rsidRDefault="00DA4206" w:rsidP="007D1DD2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4206">
              <w:rPr>
                <w:rFonts w:eastAsia="Calibri"/>
                <w:b/>
                <w:sz w:val="24"/>
                <w:szCs w:val="24"/>
              </w:rPr>
              <w:t>ОПК-6</w:t>
            </w:r>
          </w:p>
        </w:tc>
        <w:tc>
          <w:tcPr>
            <w:tcW w:w="7723" w:type="dxa"/>
            <w:vAlign w:val="center"/>
          </w:tcPr>
          <w:p w:rsidR="00DA4206" w:rsidRPr="004D2A86" w:rsidRDefault="00DA4206" w:rsidP="007D1DD2">
            <w:pPr>
              <w:spacing w:line="276" w:lineRule="auto"/>
              <w:rPr>
                <w:sz w:val="24"/>
                <w:szCs w:val="24"/>
              </w:rPr>
            </w:pPr>
            <w:r w:rsidRPr="004D2A86">
              <w:rPr>
                <w:color w:val="000000"/>
                <w:sz w:val="24"/>
                <w:szCs w:val="24"/>
              </w:rPr>
              <w:t>Способность  повышать уровень своей профессиональной компетентности</w:t>
            </w:r>
          </w:p>
        </w:tc>
      </w:tr>
      <w:tr w:rsidR="00DA4206" w:rsidRPr="004D2A86" w:rsidTr="007D1DD2">
        <w:trPr>
          <w:jc w:val="center"/>
        </w:trPr>
        <w:tc>
          <w:tcPr>
            <w:tcW w:w="1465" w:type="dxa"/>
          </w:tcPr>
          <w:p w:rsidR="00DA4206" w:rsidRPr="00DA4206" w:rsidRDefault="00DA4206" w:rsidP="007D1DD2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4206">
              <w:rPr>
                <w:rFonts w:eastAsia="Calibri"/>
                <w:b/>
                <w:sz w:val="24"/>
                <w:szCs w:val="24"/>
              </w:rPr>
              <w:t>ПК-3</w:t>
            </w:r>
          </w:p>
        </w:tc>
        <w:tc>
          <w:tcPr>
            <w:tcW w:w="7723" w:type="dxa"/>
            <w:vAlign w:val="center"/>
          </w:tcPr>
          <w:p w:rsidR="00DA4206" w:rsidRPr="004D2A86" w:rsidRDefault="00DA4206" w:rsidP="007D1DD2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D2A86">
              <w:rPr>
                <w:color w:val="000000"/>
                <w:sz w:val="24"/>
                <w:szCs w:val="24"/>
              </w:rPr>
              <w:t>Способность обеспечивать соблюдение законодательства Российской Федерации субъектами права</w:t>
            </w:r>
          </w:p>
        </w:tc>
      </w:tr>
      <w:tr w:rsidR="00DA4206" w:rsidRPr="004D2A86" w:rsidTr="007D1DD2">
        <w:trPr>
          <w:jc w:val="center"/>
        </w:trPr>
        <w:tc>
          <w:tcPr>
            <w:tcW w:w="1465" w:type="dxa"/>
          </w:tcPr>
          <w:p w:rsidR="00DA4206" w:rsidRPr="00DA4206" w:rsidRDefault="00DA4206" w:rsidP="007D1DD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4206">
              <w:rPr>
                <w:rFonts w:eastAsia="Calibri"/>
                <w:b/>
                <w:sz w:val="24"/>
                <w:szCs w:val="24"/>
              </w:rPr>
              <w:t>ПК-4</w:t>
            </w:r>
          </w:p>
        </w:tc>
        <w:tc>
          <w:tcPr>
            <w:tcW w:w="7723" w:type="dxa"/>
            <w:vAlign w:val="center"/>
          </w:tcPr>
          <w:p w:rsidR="00DA4206" w:rsidRPr="004D2A86" w:rsidRDefault="00DA4206" w:rsidP="007D1DD2">
            <w:pPr>
              <w:spacing w:line="276" w:lineRule="auto"/>
              <w:rPr>
                <w:sz w:val="24"/>
                <w:szCs w:val="24"/>
              </w:rPr>
            </w:pPr>
            <w:r w:rsidRPr="004D2A86">
              <w:rPr>
                <w:color w:val="000000"/>
                <w:sz w:val="24"/>
                <w:szCs w:val="24"/>
              </w:rPr>
              <w:t>Способность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DA4206" w:rsidRPr="004D2A86" w:rsidTr="007D1DD2">
        <w:trPr>
          <w:jc w:val="center"/>
        </w:trPr>
        <w:tc>
          <w:tcPr>
            <w:tcW w:w="1465" w:type="dxa"/>
          </w:tcPr>
          <w:p w:rsidR="00DA4206" w:rsidRPr="00DA4206" w:rsidRDefault="00DA4206" w:rsidP="007D1DD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4206">
              <w:rPr>
                <w:rFonts w:eastAsia="Calibri"/>
                <w:b/>
                <w:sz w:val="24"/>
                <w:szCs w:val="24"/>
              </w:rPr>
              <w:t>ПК-5</w:t>
            </w:r>
          </w:p>
        </w:tc>
        <w:tc>
          <w:tcPr>
            <w:tcW w:w="7723" w:type="dxa"/>
            <w:vAlign w:val="center"/>
          </w:tcPr>
          <w:p w:rsidR="00DA4206" w:rsidRPr="004D2A86" w:rsidRDefault="00DA4206" w:rsidP="007D1DD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D2A86">
              <w:rPr>
                <w:color w:val="000000"/>
                <w:sz w:val="24"/>
                <w:szCs w:val="24"/>
              </w:rPr>
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DA4206" w:rsidRPr="004D2A86" w:rsidTr="007D1DD2">
        <w:trPr>
          <w:jc w:val="center"/>
        </w:trPr>
        <w:tc>
          <w:tcPr>
            <w:tcW w:w="1465" w:type="dxa"/>
          </w:tcPr>
          <w:p w:rsidR="00DA4206" w:rsidRPr="00DA4206" w:rsidRDefault="00DA4206" w:rsidP="007D1DD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4206">
              <w:rPr>
                <w:rFonts w:eastAsia="Calibri"/>
                <w:b/>
                <w:sz w:val="24"/>
                <w:szCs w:val="24"/>
              </w:rPr>
              <w:t>ПК-6</w:t>
            </w:r>
          </w:p>
        </w:tc>
        <w:tc>
          <w:tcPr>
            <w:tcW w:w="7723" w:type="dxa"/>
            <w:vAlign w:val="center"/>
          </w:tcPr>
          <w:p w:rsidR="00DA4206" w:rsidRPr="004D2A86" w:rsidRDefault="00DA4206" w:rsidP="007D1DD2">
            <w:pPr>
              <w:spacing w:line="276" w:lineRule="auto"/>
              <w:rPr>
                <w:sz w:val="24"/>
                <w:szCs w:val="24"/>
              </w:rPr>
            </w:pPr>
            <w:r w:rsidRPr="004D2A86">
              <w:rPr>
                <w:color w:val="000000"/>
                <w:sz w:val="24"/>
                <w:szCs w:val="24"/>
              </w:rPr>
              <w:t>Способность юридически правильно квалифицировать факты и обстоятельства</w:t>
            </w:r>
          </w:p>
        </w:tc>
      </w:tr>
      <w:tr w:rsidR="00DA4206" w:rsidRPr="004D2A86" w:rsidTr="007D1DD2">
        <w:trPr>
          <w:jc w:val="center"/>
        </w:trPr>
        <w:tc>
          <w:tcPr>
            <w:tcW w:w="1465" w:type="dxa"/>
          </w:tcPr>
          <w:p w:rsidR="00DA4206" w:rsidRPr="00DA4206" w:rsidRDefault="00DA4206" w:rsidP="007D1DD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4206">
              <w:rPr>
                <w:rFonts w:eastAsia="Calibri"/>
                <w:b/>
                <w:sz w:val="24"/>
                <w:szCs w:val="24"/>
              </w:rPr>
              <w:t>ПК-7</w:t>
            </w:r>
          </w:p>
        </w:tc>
        <w:tc>
          <w:tcPr>
            <w:tcW w:w="7723" w:type="dxa"/>
            <w:vAlign w:val="center"/>
          </w:tcPr>
          <w:p w:rsidR="00DA4206" w:rsidRPr="004D2A86" w:rsidRDefault="00DA4206" w:rsidP="007D1DD2">
            <w:pPr>
              <w:spacing w:line="276" w:lineRule="auto"/>
              <w:rPr>
                <w:sz w:val="24"/>
                <w:szCs w:val="24"/>
              </w:rPr>
            </w:pPr>
            <w:r w:rsidRPr="004D2A86">
              <w:rPr>
                <w:color w:val="000000"/>
                <w:sz w:val="24"/>
                <w:szCs w:val="24"/>
              </w:rPr>
              <w:t>Владение навыками подготовки юридических документов</w:t>
            </w:r>
          </w:p>
        </w:tc>
      </w:tr>
      <w:tr w:rsidR="00DA4206" w:rsidRPr="004D2A86" w:rsidTr="007D1DD2">
        <w:trPr>
          <w:jc w:val="center"/>
        </w:trPr>
        <w:tc>
          <w:tcPr>
            <w:tcW w:w="1465" w:type="dxa"/>
          </w:tcPr>
          <w:p w:rsidR="00DA4206" w:rsidRPr="00DA4206" w:rsidRDefault="00DA4206" w:rsidP="007D1DD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4206">
              <w:rPr>
                <w:rFonts w:eastAsia="Calibri"/>
                <w:b/>
                <w:sz w:val="24"/>
                <w:szCs w:val="24"/>
              </w:rPr>
              <w:t>ПК-9</w:t>
            </w:r>
          </w:p>
        </w:tc>
        <w:tc>
          <w:tcPr>
            <w:tcW w:w="7723" w:type="dxa"/>
            <w:vAlign w:val="center"/>
          </w:tcPr>
          <w:p w:rsidR="00DA4206" w:rsidRPr="004D2A86" w:rsidRDefault="00DA4206" w:rsidP="007D1DD2">
            <w:pPr>
              <w:spacing w:line="276" w:lineRule="auto"/>
              <w:rPr>
                <w:sz w:val="24"/>
                <w:szCs w:val="24"/>
              </w:rPr>
            </w:pPr>
            <w:r w:rsidRPr="004D2A86">
              <w:rPr>
                <w:color w:val="000000"/>
                <w:sz w:val="24"/>
                <w:szCs w:val="24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</w:tr>
      <w:tr w:rsidR="00DA4206" w:rsidRPr="004D2A86" w:rsidTr="007D1DD2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06" w:rsidRPr="00DA4206" w:rsidRDefault="00DA4206" w:rsidP="007D1DD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DA4206">
              <w:rPr>
                <w:rFonts w:eastAsia="Calibri"/>
                <w:b/>
                <w:sz w:val="24"/>
                <w:szCs w:val="24"/>
              </w:rPr>
              <w:t>ПК-13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06" w:rsidRPr="004D2A86" w:rsidRDefault="00DA4206" w:rsidP="007D1DD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D2A86">
              <w:rPr>
                <w:color w:val="000000"/>
                <w:sz w:val="24"/>
                <w:szCs w:val="24"/>
              </w:rPr>
              <w:t>Способность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  <w:bookmarkStart w:id="0" w:name="_GoBack"/>
      <w:bookmarkEnd w:id="0"/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DA4206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4D2A86">
              <w:rPr>
                <w:spacing w:val="-3"/>
                <w:sz w:val="24"/>
                <w:szCs w:val="24"/>
              </w:rPr>
              <w:t>Понятие жилищного права. Жилищное законодательство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4D2A86">
              <w:rPr>
                <w:sz w:val="24"/>
                <w:szCs w:val="24"/>
              </w:rPr>
              <w:t>Жилищные права и обязанности граждан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4D2A86">
              <w:rPr>
                <w:sz w:val="24"/>
                <w:szCs w:val="24"/>
                <w:bdr w:val="none" w:sz="0" w:space="0" w:color="auto" w:frame="1"/>
              </w:rPr>
              <w:t>Объекты жилищного права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4D2A86">
              <w:rPr>
                <w:bCs/>
                <w:sz w:val="24"/>
                <w:szCs w:val="24"/>
                <w:bdr w:val="none" w:sz="0" w:space="0" w:color="auto" w:frame="1"/>
              </w:rPr>
              <w:t>Жилищный фонд как объект жилищного права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4D2A86">
              <w:rPr>
                <w:sz w:val="24"/>
                <w:szCs w:val="24"/>
                <w:bdr w:val="none" w:sz="0" w:space="0" w:color="auto" w:frame="1"/>
              </w:rPr>
              <w:t>Специализированный жилищный фонд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Перепланировка и перевод из жилого в нежилое помещение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DA4206" w:rsidRDefault="00DA4206" w:rsidP="00DA4206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4D2A86">
              <w:rPr>
                <w:sz w:val="24"/>
                <w:szCs w:val="24"/>
              </w:rPr>
              <w:t>Особенности приобретения жилья в современных условиях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4D2A86">
              <w:rPr>
                <w:sz w:val="24"/>
                <w:szCs w:val="24"/>
                <w:bdr w:val="none" w:sz="0" w:space="0" w:color="auto" w:frame="1"/>
              </w:rPr>
              <w:t>Государственная регистрация прав на жилые помещения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tabs>
                <w:tab w:val="left" w:pos="993"/>
              </w:tabs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4D2A86">
              <w:rPr>
                <w:sz w:val="24"/>
                <w:szCs w:val="24"/>
                <w:bdr w:val="none" w:sz="0" w:space="0" w:color="auto" w:frame="1"/>
              </w:rPr>
              <w:t>Право собственности и другие вещные права на жилые помещения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tabs>
                <w:tab w:val="left" w:pos="993"/>
              </w:tabs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4D2A86">
              <w:rPr>
                <w:sz w:val="24"/>
                <w:szCs w:val="24"/>
                <w:bdr w:val="none" w:sz="0" w:space="0" w:color="auto" w:frame="1"/>
              </w:rPr>
              <w:t>Социальный наем жилого помещения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4D2A86">
              <w:rPr>
                <w:sz w:val="24"/>
                <w:szCs w:val="24"/>
                <w:bdr w:val="none" w:sz="0" w:space="0" w:color="auto" w:frame="1"/>
              </w:rPr>
              <w:t>Управление жилыми домами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tabs>
                <w:tab w:val="left" w:pos="993"/>
              </w:tabs>
              <w:spacing w:after="120"/>
              <w:ind w:right="-108"/>
              <w:contextualSpacing/>
              <w:rPr>
                <w:sz w:val="24"/>
                <w:szCs w:val="24"/>
                <w:bdr w:val="none" w:sz="0" w:space="0" w:color="auto" w:frame="1"/>
              </w:rPr>
            </w:pPr>
            <w:r w:rsidRPr="004D2A86">
              <w:rPr>
                <w:sz w:val="24"/>
                <w:szCs w:val="24"/>
                <w:bdr w:val="none" w:sz="0" w:space="0" w:color="auto" w:frame="1"/>
              </w:rPr>
              <w:t>Жилищные и жилищно-строительные кооперативы.</w:t>
            </w:r>
          </w:p>
          <w:p w:rsidR="00DA4206" w:rsidRDefault="00DA4206" w:rsidP="00DA4206">
            <w:pPr>
              <w:tabs>
                <w:tab w:val="left" w:pos="993"/>
              </w:tabs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4D2A86">
              <w:rPr>
                <w:sz w:val="24"/>
                <w:szCs w:val="24"/>
                <w:bdr w:val="none" w:sz="0" w:space="0" w:color="auto" w:frame="1"/>
              </w:rPr>
              <w:t>Жилищные накопительные кооперативы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84" w:type="dxa"/>
          </w:tcPr>
          <w:p w:rsidR="00DA4206" w:rsidRDefault="00DA4206" w:rsidP="00DA4206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4D2A86">
              <w:rPr>
                <w:sz w:val="24"/>
                <w:szCs w:val="24"/>
                <w:bdr w:val="none" w:sz="0" w:space="0" w:color="auto" w:frame="1"/>
              </w:rPr>
              <w:t>Жилищные накопительные кооперативы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spacing w:after="120"/>
              <w:ind w:right="-108"/>
              <w:contextualSpacing/>
              <w:rPr>
                <w:bCs/>
                <w:sz w:val="24"/>
                <w:szCs w:val="24"/>
              </w:rPr>
            </w:pPr>
            <w:r w:rsidRPr="004D2A86">
              <w:rPr>
                <w:sz w:val="24"/>
                <w:szCs w:val="24"/>
                <w:bdr w:val="none" w:sz="0" w:space="0" w:color="auto" w:frame="1"/>
              </w:rPr>
              <w:t>Товарищество собственников жилья Товарищество собственников жилья Плата за жилое помещение и коммунальные услуги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4D2A86">
              <w:rPr>
                <w:sz w:val="24"/>
                <w:szCs w:val="24"/>
                <w:bdr w:val="none" w:sz="0" w:space="0" w:color="auto" w:frame="1"/>
              </w:rPr>
              <w:t>Плата за жилое помещение и коммунальные услуги</w:t>
            </w:r>
          </w:p>
        </w:tc>
      </w:tr>
      <w:tr w:rsidR="00DA4206" w:rsidRPr="00957D46" w:rsidTr="00DA4206">
        <w:tc>
          <w:tcPr>
            <w:tcW w:w="861" w:type="dxa"/>
          </w:tcPr>
          <w:p w:rsidR="00DA4206" w:rsidRPr="00957D46" w:rsidRDefault="00DA4206" w:rsidP="00DA4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84" w:type="dxa"/>
          </w:tcPr>
          <w:p w:rsidR="00DA4206" w:rsidRPr="004D2A86" w:rsidRDefault="00DA4206" w:rsidP="00DA4206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4D2A86">
              <w:rPr>
                <w:sz w:val="24"/>
                <w:szCs w:val="24"/>
                <w:shd w:val="clear" w:color="auto" w:fill="FFFFFF"/>
              </w:rPr>
              <w:t>Разрешение жилищных споров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DA4206">
        <w:rPr>
          <w:b/>
          <w:sz w:val="28"/>
          <w:szCs w:val="28"/>
        </w:rPr>
        <w:t>зачет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767913"/>
    <w:rsid w:val="00AB51D1"/>
    <w:rsid w:val="00DA4206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CE95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Ирина Гагарина</cp:lastModifiedBy>
  <cp:revision>2</cp:revision>
  <dcterms:created xsi:type="dcterms:W3CDTF">2018-11-04T08:13:00Z</dcterms:created>
  <dcterms:modified xsi:type="dcterms:W3CDTF">2018-11-04T08:13:00Z</dcterms:modified>
</cp:coreProperties>
</file>