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jc w:val="center"/>
        <w:outlineLvl w:val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Основы постановки актуальных ток-шоу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42.03.04.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ОПК-2 - Обладать способностью понимать социальную роль телевидения, механизмов его влияния на общественное сознание, принципов функционирования средств массовой информации в современном мире, свободы и социальной ответственности телевидения и других средств массовой информации, содержания и современного состояния института свободы слова и печати и смежных свобод.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ПК-8 - Обладать способностью применять полученные знания в области журналистики, теории коммуникации, истории телевидения, способов производства и распространения телепродукции в собственной исследовательской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ПК-12 - Обладать способностью применять навыки культурно-просветительского и организационного воздействия на аудиторию в процессе преподавания дисциплин, соответствующих направлению подготовки.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Ток-шоу как особый вид  программы, драматургии и сценарной формы.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Ток-шоу  как область литературно-кинематографического творчества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Сценарий – идейно-художественная основа ток-шоу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ind w:hanging="15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Элементы ток-шоу : материал, тема, идея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Композиция сценария информационных программ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Коммуникативные качества телевизионного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слова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top"/>
          </w:tcPr>
          <w:p>
            <w:pPr>
              <w:tabs>
                <w:tab w:val="right" w:leader="underscore" w:pos="9639"/>
              </w:tabs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</w:rPr>
              <w:t>Формирование концепции передачи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</w:rPr>
              <w:t>Заявка и принципы ее оформления; Критерии оценки передачи по заявке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710" w:type="dxa"/>
            <w:vAlign w:val="top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</w:rPr>
              <w:t>Сценарный план – исходный материал 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режиссёрской и операторской разработок.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710" w:type="dxa"/>
            <w:vAlign w:val="top"/>
          </w:tcPr>
          <w:p>
            <w:pPr>
              <w:numPr>
                <w:numId w:val="0"/>
              </w:num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Ток-шоу и анализ экранной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продукции с точки зрения используемых экранных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средств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bookmarkStart w:id="2" w:name="_GoBack"/>
      <w:bookmarkEnd w:id="2"/>
      <w:r>
        <w:rPr>
          <w:sz w:val="28"/>
          <w:szCs w:val="28"/>
          <w:lang w:val="ru-RU"/>
        </w:rPr>
        <w:t>зачет.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394E78E1"/>
    <w:rsid w:val="464E675F"/>
    <w:rsid w:val="583F71C0"/>
    <w:rsid w:val="65B713C4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2019-02-13T17:38:27Z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