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</w:rPr>
        <w:t>Специфика журналистики рускоязычного зарубежья</w:t>
      </w:r>
    </w:p>
    <w:p>
      <w:pPr>
        <w:jc w:val="center"/>
        <w:rPr>
          <w:rFonts w:hint="default" w:cs="Times New Roman"/>
          <w:b/>
          <w:bCs/>
          <w:sz w:val="32"/>
          <w:szCs w:val="32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</w:t>
            </w:r>
            <w:bookmarkStart w:id="2" w:name="_GoBack"/>
            <w:bookmarkEnd w:id="2"/>
            <w:r>
              <w:rPr>
                <w:sz w:val="28"/>
                <w:szCs w:val="28"/>
              </w:rPr>
              <w:t>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Вводное занятие. Объяснение важности курса.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Информационная деятельность государств древности. Тренды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Журналистика публичных выступлений. Тогда и сейчас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Особенности средств производства. Гуттенберг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Появление массовой печати. Предпосылки появления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Публицистика, как главный жанр журналистики Европы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XVII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XVIII</w:t>
            </w:r>
            <w:r>
              <w:rPr>
                <w:sz w:val="28"/>
                <w:szCs w:val="28"/>
                <w:shd w:val="clear" w:color="auto" w:fill="FFFFFF"/>
              </w:rPr>
              <w:t xml:space="preserve"> веков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Исторические процессы в Европе в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XVIII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XIX</w:t>
            </w:r>
            <w:r>
              <w:rPr>
                <w:sz w:val="28"/>
                <w:szCs w:val="28"/>
                <w:shd w:val="clear" w:color="auto" w:fill="FFFFFF"/>
              </w:rPr>
              <w:t xml:space="preserve"> веках. Влияние на СМИ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Журналистика США. Периода Войны за независимость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Особенности возникновения информационных холдингов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Появление рынка новостей в Европе с США.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XIX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sz w:val="28"/>
                <w:szCs w:val="28"/>
                <w:shd w:val="clear" w:color="auto" w:fill="FFFFFF"/>
              </w:rPr>
              <w:t xml:space="preserve"> века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 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F190B46"/>
    <w:rsid w:val="18FC596A"/>
    <w:rsid w:val="20686719"/>
    <w:rsid w:val="207D3A5F"/>
    <w:rsid w:val="2F446AC3"/>
    <w:rsid w:val="33FA3F7B"/>
    <w:rsid w:val="37C53848"/>
    <w:rsid w:val="394E78E1"/>
    <w:rsid w:val="40EF145F"/>
    <w:rsid w:val="419B04E4"/>
    <w:rsid w:val="43F37C59"/>
    <w:rsid w:val="464E675F"/>
    <w:rsid w:val="4B713BA6"/>
    <w:rsid w:val="511A2F7B"/>
    <w:rsid w:val="562532DE"/>
    <w:rsid w:val="583F71C0"/>
    <w:rsid w:val="58FC717C"/>
    <w:rsid w:val="64572251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2019-03-02T14:56:00Z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