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Введение в литературоведение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ОК-5 - обладать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cs="Times New Roman"/>
          <w:b w:val="0"/>
          <w:bCs/>
          <w:sz w:val="28"/>
          <w:szCs w:val="28"/>
          <w:lang w:val="ru-RU"/>
        </w:rPr>
        <w:t xml:space="preserve">ОПК-5 - обладать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Сюжет художественного произведения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Композиция литературного произведения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Поэтическая речь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Э</w:t>
      </w:r>
      <w:r>
        <w:rPr>
          <w:sz w:val="28"/>
          <w:szCs w:val="28"/>
          <w:lang w:val="ru-RU"/>
        </w:rPr>
        <w:t>кзамен.</w:t>
      </w:r>
      <w:bookmarkStart w:id="2" w:name="_GoBack"/>
      <w:bookmarkEnd w:id="2"/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A1E1E3C"/>
    <w:rsid w:val="2F446AC3"/>
    <w:rsid w:val="37C53848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2019-06-21T14:24:03Z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