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>Звукорежиссура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ОПК-3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ПК-1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ПК-3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Владение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ПК-5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обеспечивать в качестве продюсера необходимые финансово-экономические, административные, рекламные и культурно-конъюнктурные условия для создания и распространения различных продуктов телепроизводства.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ПК-7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История звукорежиссуры. Основные понятия звукорежиссуры.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Техника и технология звукорежиссуры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Партитурный анализ и выбор соответствующей технологии звукозаписи. Звукорежиссерская экспликация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Микрофонный прием натуральных звуковых сигналов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Фонографическая композиция. Фоноколористика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Фонографическая стилистика и фонографическая драматургия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звукомонтажа. Реставрация фонограмм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Премастеринг 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5B2A0A8F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2019-06-21T14:31:51Z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