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зарубежной журналистики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>
      <w:pPr>
        <w:numPr>
          <w:ilvl w:val="0"/>
          <w:numId w:val="0"/>
        </w:numPr>
        <w:jc w:val="both"/>
        <w:outlineLvl w:val="0"/>
        <w:rPr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ОК-5 - </w:t>
      </w:r>
      <w:r>
        <w:rPr>
          <w:rFonts w:hint="default"/>
          <w:b w:val="0"/>
          <w:bCs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hint="default"/>
          <w:b w:val="0"/>
          <w:bCs/>
          <w:sz w:val="28"/>
          <w:szCs w:val="28"/>
          <w:lang w:val="ru-RU"/>
        </w:rPr>
        <w:t>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ОПК-1</w:t>
      </w:r>
      <w:r>
        <w:rPr>
          <w:rFonts w:eastAsia="Calibri"/>
          <w:sz w:val="28"/>
          <w:szCs w:val="28"/>
          <w:lang w:val="ru-RU" w:eastAsia="en-US"/>
        </w:rPr>
        <w:t xml:space="preserve"> - обладать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с</w:t>
      </w:r>
      <w:r>
        <w:rPr>
          <w:rFonts w:eastAsia="Calibri"/>
          <w:sz w:val="28"/>
          <w:szCs w:val="28"/>
          <w:lang w:eastAsia="en-US"/>
        </w:rPr>
        <w:t>пособностью применять знания специфики истории и перспектив развития телевидения как одного из средств современной коммуникации и как особого вида искусства в широком гуманитарном и культурном контексте, особенностей и специфики тележурналистики.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История зарубежной литературы до появления электронных СМИ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История зарубежной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журналистики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после появления электронных СМИ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  <w:bookmarkStart w:id="2" w:name="_GoBack"/>
      <w:bookmarkEnd w:id="2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>экзамен.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9A40"/>
    <w:multiLevelType w:val="singleLevel"/>
    <w:tmpl w:val="6DFD9A4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F446AC3"/>
    <w:rsid w:val="37C53848"/>
    <w:rsid w:val="5D255D7B"/>
    <w:rsid w:val="65B713C4"/>
    <w:rsid w:val="769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2019-06-21T15:26:13Z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