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Менеджмент в сфере СМИ</w:t>
      </w:r>
    </w:p>
    <w:p>
      <w:pPr>
        <w:jc w:val="center"/>
        <w:rPr>
          <w:b w:val="0"/>
          <w:bCs w:val="0"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Телевидение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 w:val="0"/>
          <w:bCs/>
          <w:sz w:val="28"/>
          <w:szCs w:val="28"/>
          <w:lang w:val="ru-RU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eastAsia="en-US"/>
        </w:rPr>
        <w:t>Владением операторским искусством как средством воплощения авторского и режиссерского замыслов, включая способность участвовать  в работе операторской группы, ведущей телевизионную съемку, и при необходимости организовывать ее работу.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ПК-5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Способностью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телепроизводства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Инновационная деятельность медиакомпаний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Аудитория телевидения как рынок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left" w:pos="19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Финансовый аспект СМИ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8741328"/>
    <w:rsid w:val="2F446AC3"/>
    <w:rsid w:val="363B298C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