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  <w:r>
        <w:rPr>
          <w:b/>
          <w:bCs/>
          <w:sz w:val="28"/>
          <w:szCs w:val="28"/>
          <w:highlight w:val="none"/>
          <w:u w:val="none"/>
          <w:lang w:val="ru-RU"/>
        </w:rPr>
        <w:t>Основы продюсирования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</w:t>
      </w:r>
      <w:bookmarkStart w:id="2" w:name="_GoBack"/>
      <w:bookmarkEnd w:id="2"/>
      <w:r>
        <w:rPr>
          <w:b/>
          <w:sz w:val="28"/>
          <w:szCs w:val="28"/>
        </w:rPr>
        <w:t>уемые в результате освоения дисциплины:</w:t>
      </w:r>
    </w:p>
    <w:tbl>
      <w:tblPr>
        <w:tblStyle w:val="3"/>
        <w:tblW w:w="96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>ПК-4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владением операторским искусством как средством воплощения авторского и режиссерского замыслов, включая способность участвовать в работе операторской группы, ведущей телевизионную съемку, и при необходимости организовывать ее работу.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История кинодраматургии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Приёмы сценарного искусства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Композиция и продюсирование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 xml:space="preserve">дифференцированный </w:t>
      </w:r>
      <w:r>
        <w:rPr>
          <w:sz w:val="28"/>
          <w:szCs w:val="28"/>
          <w:lang w:val="ru-RU"/>
        </w:rPr>
        <w:t>зачет.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9A05CF4"/>
    <w:rsid w:val="20686719"/>
    <w:rsid w:val="207D3A5F"/>
    <w:rsid w:val="2F446AC3"/>
    <w:rsid w:val="37C53848"/>
    <w:rsid w:val="394E78E1"/>
    <w:rsid w:val="583F71C0"/>
    <w:rsid w:val="65B713C4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2019-06-21T16:50:17Z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