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spacing w:val="7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Теория и практика коммуникаций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42.03.04 Т</w:t>
      </w:r>
      <w:bookmarkStart w:id="2" w:name="_GoBack"/>
      <w:bookmarkEnd w:id="2"/>
      <w:r>
        <w:rPr>
          <w:rFonts w:hint="default" w:ascii="Times New Roman" w:hAnsi="Times New Roman" w:cs="Times New Roman"/>
          <w:bCs/>
          <w:sz w:val="28"/>
          <w:szCs w:val="28"/>
        </w:rPr>
        <w:t>елевидение</w:t>
      </w:r>
      <w:bookmarkEnd w:id="0"/>
      <w:bookmarkEnd w:id="1"/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ОПК-2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пособность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ПК-8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пособность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ПК-12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пособность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u-RU" w:bidi="ar-SA"/>
              </w:rPr>
              <w:t>.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2. Содержание дисциплины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:</w:t>
      </w: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Семестр №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ind w:right="-108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Социально-экономическая сущность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950"/>
              </w:tabs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коммуникационной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950"/>
              </w:tabs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Семестр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950"/>
              </w:tabs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Особенности межкультурной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950"/>
              </w:tabs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Маркетинговая коммуникация и ее составляющие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3.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Форма контроля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: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70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5 семестр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-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>зачет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>;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70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6 семестр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>экзамен.</w:t>
      </w: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2050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2049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348B"/>
    <w:rsid w:val="000215AE"/>
    <w:rsid w:val="00041539"/>
    <w:rsid w:val="000621CE"/>
    <w:rsid w:val="00073A74"/>
    <w:rsid w:val="000932F1"/>
    <w:rsid w:val="000A7962"/>
    <w:rsid w:val="000B68CC"/>
    <w:rsid w:val="000E79F1"/>
    <w:rsid w:val="001127D8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76BC6"/>
    <w:rsid w:val="00690242"/>
    <w:rsid w:val="006A0220"/>
    <w:rsid w:val="006E3F45"/>
    <w:rsid w:val="006F13E7"/>
    <w:rsid w:val="00720CAC"/>
    <w:rsid w:val="00743270"/>
    <w:rsid w:val="0076132C"/>
    <w:rsid w:val="007644DD"/>
    <w:rsid w:val="007B2983"/>
    <w:rsid w:val="007C2DCF"/>
    <w:rsid w:val="007E0B63"/>
    <w:rsid w:val="00806F72"/>
    <w:rsid w:val="00821639"/>
    <w:rsid w:val="008353DE"/>
    <w:rsid w:val="00870327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A36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DF29A0"/>
    <w:rsid w:val="00DF72AA"/>
    <w:rsid w:val="00E45C45"/>
    <w:rsid w:val="00E926A3"/>
    <w:rsid w:val="00E962D3"/>
    <w:rsid w:val="00EB1655"/>
    <w:rsid w:val="00EC3229"/>
    <w:rsid w:val="00ED24CA"/>
    <w:rsid w:val="00F06D14"/>
    <w:rsid w:val="00F33365"/>
    <w:rsid w:val="00FC7A5D"/>
    <w:rsid w:val="00FD576A"/>
    <w:rsid w:val="00FE79C6"/>
    <w:rsid w:val="00FF1242"/>
    <w:rsid w:val="057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qFormat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qFormat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uiPriority w:val="99"/>
    <w:rPr>
      <w:color w:val="954F72"/>
      <w:u w:val="single"/>
    </w:rPr>
  </w:style>
  <w:style w:type="character" w:styleId="15">
    <w:name w:val="footnote reference"/>
    <w:semiHidden/>
    <w:unhideWhenUsed/>
    <w:uiPriority w:val="99"/>
    <w:rPr>
      <w:vertAlign w:val="superscript"/>
    </w:rPr>
  </w:style>
  <w:style w:type="character" w:styleId="16">
    <w:name w:val="Hyperlink"/>
    <w:uiPriority w:val="0"/>
    <w:rPr>
      <w:color w:val="0066CC"/>
      <w:u w:val="single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qFormat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qFormat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qFormat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qFormat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qFormat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uiPriority w:val="99"/>
    <w:rPr>
      <w:color w:val="000000"/>
    </w:rPr>
  </w:style>
  <w:style w:type="character" w:customStyle="1" w:styleId="53">
    <w:name w:val="Нижний колонтитул Знак"/>
    <w:link w:val="6"/>
    <w:qFormat/>
    <w:uiPriority w:val="99"/>
    <w:rPr>
      <w:color w:val="000000"/>
    </w:rPr>
  </w:style>
  <w:style w:type="character" w:customStyle="1" w:styleId="54">
    <w:name w:val="Текст выноски Знак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locked/>
    <w:uiPriority w:val="1"/>
    <w:rPr>
      <w:color w:val="000000"/>
    </w:rPr>
  </w:style>
  <w:style w:type="paragraph" w:customStyle="1" w:styleId="6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207</Words>
  <Characters>1186</Characters>
  <Lines>9</Lines>
  <Paragraphs>2</Paragraphs>
  <TotalTime>3</TotalTime>
  <ScaleCrop>false</ScaleCrop>
  <LinksUpToDate>false</LinksUpToDate>
  <CharactersWithSpaces>1391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2019-02-06T21:25:00Z</dcterms:created>
  <dc:creator>RePack by Diakov</dc:creator>
  <cp:lastModifiedBy>21097</cp:lastModifiedBy>
  <cp:lastPrinted>2018-02-27T13:38:00Z</cp:lastPrinted>
  <dcterms:modified xsi:type="dcterms:W3CDTF">2019-06-21T18:21:11Z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