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специальност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Способностью применять знания специфики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ОПК-3.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понимать сущность журналистской профессии как социальной, информационной, творческой , знать ее базовые характеристики, смысл социальных ролей  журналиста, качеств личности,  необходим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ОПК-15. </w:t>
      </w:r>
      <w:r>
        <w:rPr>
          <w:rFonts w:eastAsia="Calibri"/>
          <w:b w:val="0"/>
          <w:bCs/>
          <w:sz w:val="28"/>
          <w:szCs w:val="28"/>
          <w:lang w:eastAsia="en-US"/>
        </w:rPr>
        <w:t>Способность  ориентироваться в наиболее распространенных  форматах печатных изданий, теле-, радиопрограмм, интернет-СМИ, современной жанровой  и стилевой специфике различного рода медиатекстов, углубленно знать 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6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Специфика журналистской профессии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64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Профессиограмма журнализма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8975969"/>
    <w:rsid w:val="2F446AC3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2019-06-22T11:53:02Z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