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История отечественной литературы</w:t>
      </w:r>
    </w:p>
    <w:p>
      <w:pPr>
        <w:jc w:val="center"/>
        <w:rPr>
          <w:sz w:val="28"/>
          <w:szCs w:val="28"/>
        </w:rPr>
      </w:pPr>
    </w:p>
    <w:p>
      <w:pPr>
        <w:rPr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6"/>
      <w:bookmarkStart w:id="1" w:name="OLE_LINK115"/>
      <w:r>
        <w:rPr>
          <w:bCs/>
          <w:sz w:val="28"/>
          <w:szCs w:val="28"/>
        </w:rPr>
        <w:t>42.03.0</w:t>
      </w:r>
      <w:r>
        <w:rPr>
          <w:bCs/>
          <w:sz w:val="28"/>
          <w:szCs w:val="28"/>
          <w:lang w:val="ru-RU"/>
        </w:rPr>
        <w:t xml:space="preserve">2 </w:t>
      </w:r>
      <w:r>
        <w:rPr>
          <w:bCs/>
          <w:sz w:val="28"/>
          <w:szCs w:val="28"/>
        </w:rPr>
        <w:t xml:space="preserve"> </w:t>
      </w:r>
      <w:bookmarkEnd w:id="0"/>
      <w:bookmarkEnd w:id="1"/>
      <w:r>
        <w:rPr>
          <w:bCs/>
          <w:sz w:val="28"/>
          <w:szCs w:val="28"/>
          <w:lang w:val="ru-RU"/>
        </w:rPr>
        <w:t>Журналистика</w:t>
      </w: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Style w:val="3"/>
        <w:tblW w:w="95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contextualSpacing/>
              <w:jc w:val="both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sz w:val="28"/>
                <w:szCs w:val="28"/>
              </w:rPr>
              <w:t>ОК-3</w:t>
            </w:r>
            <w:r>
              <w:rPr>
                <w:sz w:val="28"/>
                <w:szCs w:val="28"/>
                <w:lang w:val="ru-RU"/>
              </w:rPr>
              <w:t xml:space="preserve"> - С</w:t>
            </w:r>
            <w:r>
              <w:rPr>
                <w:sz w:val="28"/>
                <w:szCs w:val="28"/>
              </w:rPr>
              <w:t>пособность использовать знания в области общегуманитарных социальных наук (социология, психология, культурология и других) в контексте своей социальной и профессиональной деятельности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ОПК-4</w:t>
            </w:r>
            <w:r>
              <w:rPr>
                <w:sz w:val="28"/>
                <w:szCs w:val="28"/>
                <w:lang w:val="ru-RU"/>
              </w:rPr>
              <w:t xml:space="preserve"> - С</w:t>
            </w:r>
            <w:r>
              <w:rPr>
                <w:sz w:val="28"/>
                <w:szCs w:val="28"/>
              </w:rPr>
              <w:t>пособность ориентироваться в основных этапах и процессах развития отечественной литературы и журналистики, использовать этот опыт в практике профессиональной деятельности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contextualSpacing/>
              <w:jc w:val="both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sz w:val="28"/>
                <w:szCs w:val="28"/>
              </w:rPr>
              <w:t>ОПК-13</w:t>
            </w:r>
            <w:r>
              <w:rPr>
                <w:sz w:val="28"/>
                <w:szCs w:val="28"/>
                <w:lang w:val="ru-RU"/>
              </w:rPr>
              <w:t xml:space="preserve"> - С</w:t>
            </w:r>
            <w:r>
              <w:rPr>
                <w:sz w:val="28"/>
                <w:szCs w:val="28"/>
              </w:rPr>
              <w:t>пособность следовать принципам работы журналиста с источниками информации, знать методы ее сбора, селекции, проверки и анализа, возможности электронных баз данных и методы работы с ними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rFonts w:eastAsia="Calibri"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8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2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4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844" w:type="dxa"/>
            <w:vAlign w:val="top"/>
          </w:tcPr>
          <w:p>
            <w:pPr>
              <w:tabs>
                <w:tab w:val="right" w:leader="underscore" w:pos="9639"/>
              </w:tabs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Древнерусская литература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844" w:type="dxa"/>
            <w:vAlign w:val="top"/>
          </w:tcPr>
          <w:p>
            <w:pPr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Литература периода феодальной раздробленности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844" w:type="dxa"/>
            <w:vAlign w:val="top"/>
          </w:tcPr>
          <w:p>
            <w:pPr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Литература Смутного времени и классицизма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844" w:type="dxa"/>
            <w:vAlign w:val="top"/>
          </w:tcPr>
          <w:p>
            <w:pPr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Конец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XVIII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8844" w:type="dxa"/>
            <w:vAlign w:val="top"/>
          </w:tcPr>
          <w:p>
            <w:pPr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Литература девятнадцатого столетия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8844" w:type="dxa"/>
            <w:vAlign w:val="top"/>
          </w:tcPr>
          <w:p>
            <w:pPr>
              <w:spacing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 xml:space="preserve">Литература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XX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8844" w:type="dxa"/>
            <w:vAlign w:val="top"/>
          </w:tcPr>
          <w:p>
            <w:pPr>
              <w:spacing w:after="0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Литература начала двадцатого века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8844" w:type="dxa"/>
            <w:vAlign w:val="top"/>
          </w:tcPr>
          <w:p>
            <w:pPr>
              <w:spacing w:after="0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Вторая половина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XX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844" w:type="dxa"/>
            <w:vAlign w:val="top"/>
          </w:tcPr>
          <w:p>
            <w:pPr>
              <w:tabs>
                <w:tab w:val="left" w:pos="1950"/>
              </w:tabs>
              <w:spacing w:after="0"/>
              <w:jc w:val="left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Советская поэзия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8844" w:type="dxa"/>
            <w:vAlign w:val="top"/>
          </w:tcPr>
          <w:p>
            <w:pPr>
              <w:tabs>
                <w:tab w:val="left" w:pos="1950"/>
              </w:tabs>
              <w:spacing w:after="0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Зарубежье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8844" w:type="dxa"/>
            <w:vAlign w:val="top"/>
          </w:tcPr>
          <w:p>
            <w:pPr>
              <w:tabs>
                <w:tab w:val="left" w:pos="1950"/>
              </w:tabs>
              <w:spacing w:after="0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Оттепель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8844" w:type="dxa"/>
            <w:vAlign w:val="top"/>
          </w:tcPr>
          <w:p>
            <w:pPr>
              <w:tabs>
                <w:tab w:val="left" w:pos="1950"/>
              </w:tabs>
              <w:spacing w:after="0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Современная литература (конец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в)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8844" w:type="dxa"/>
            <w:vAlign w:val="top"/>
          </w:tcPr>
          <w:p>
            <w:pPr>
              <w:tabs>
                <w:tab w:val="left" w:pos="1950"/>
              </w:tabs>
              <w:spacing w:after="0"/>
              <w:jc w:val="left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Современная литература (начало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  <w:t>XXI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в)</w:t>
            </w: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Форма контроля</w:t>
      </w:r>
      <w:r>
        <w:rPr>
          <w:b/>
          <w:sz w:val="28"/>
          <w:szCs w:val="28"/>
          <w:lang w:val="ru-RU"/>
        </w:rPr>
        <w:t xml:space="preserve">: </w:t>
      </w:r>
    </w:p>
    <w:p>
      <w:pPr>
        <w:numPr>
          <w:numId w:val="0"/>
        </w:numPr>
        <w:ind w:firstLine="700" w:firstLineChars="0"/>
        <w:outlineLvl w:val="0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 xml:space="preserve">2 семестр - экзамен, </w:t>
      </w:r>
    </w:p>
    <w:p>
      <w:pPr>
        <w:numPr>
          <w:numId w:val="0"/>
        </w:numPr>
        <w:ind w:firstLine="700" w:firstLineChars="0"/>
        <w:outlineLvl w:val="0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3 семестр -</w:t>
      </w:r>
      <w:r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  <w:lang w:val="ru-RU"/>
        </w:rPr>
        <w:t xml:space="preserve">экзамен, </w:t>
      </w:r>
    </w:p>
    <w:p>
      <w:pPr>
        <w:numPr>
          <w:numId w:val="0"/>
        </w:numPr>
        <w:ind w:firstLine="700" w:firstLineChars="0"/>
        <w:outlineLvl w:val="0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 xml:space="preserve">4 семестр - зачет, </w:t>
      </w:r>
    </w:p>
    <w:p>
      <w:pPr>
        <w:numPr>
          <w:numId w:val="0"/>
        </w:numPr>
        <w:ind w:firstLine="700" w:firstLineChars="0"/>
        <w:outlineLvl w:val="0"/>
        <w:rPr>
          <w:sz w:val="28"/>
          <w:szCs w:val="28"/>
        </w:rPr>
      </w:pPr>
      <w:r>
        <w:rPr>
          <w:b w:val="0"/>
          <w:bCs/>
          <w:sz w:val="28"/>
          <w:szCs w:val="28"/>
          <w:lang w:val="ru-RU"/>
        </w:rPr>
        <w:t>5 семестр - экзамен.</w:t>
      </w:r>
      <w:bookmarkStart w:id="2" w:name="_GoBack"/>
      <w:bookmarkEnd w:id="2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03908B"/>
    <w:multiLevelType w:val="singleLevel"/>
    <w:tmpl w:val="C503908B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1FC82DDE"/>
    <w:rsid w:val="2F446AC3"/>
    <w:rsid w:val="37C53848"/>
    <w:rsid w:val="551F4CCD"/>
    <w:rsid w:val="59F8642D"/>
    <w:rsid w:val="65B713C4"/>
    <w:rsid w:val="72A56F97"/>
    <w:rsid w:val="7B56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14"/>
    <w:basedOn w:val="5"/>
    <w:qFormat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5">
    <w:name w:val="Table Normal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_Style 18"/>
    <w:basedOn w:val="5"/>
    <w:qFormat/>
    <w:uiPriority w:val="0"/>
    <w:tblPr>
      <w:tblLayout w:type="fixed"/>
      <w:tblCellMar>
        <w:left w:w="108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2019-06-23T06:48:42Z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