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Постсоветское пространство</w:t>
      </w:r>
    </w:p>
    <w:p>
      <w:pPr>
        <w:jc w:val="center"/>
        <w:rPr>
          <w:sz w:val="28"/>
          <w:szCs w:val="28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42.03.0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Журналистика</w:t>
      </w: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sz w:val="28"/>
          <w:szCs w:val="28"/>
          <w:lang w:val="ru-RU"/>
        </w:rPr>
        <w:t>Авторская журналистика</w:t>
      </w:r>
    </w:p>
    <w:p>
      <w:pPr>
        <w:outlineLvl w:val="0"/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ОК-2</w:t>
      </w:r>
      <w:r>
        <w:rPr>
          <w:rFonts w:eastAsia="Calibri"/>
          <w:sz w:val="28"/>
          <w:szCs w:val="28"/>
          <w:lang w:val="ru-RU" w:eastAsia="en-US"/>
        </w:rPr>
        <w:t xml:space="preserve"> -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Способность анализировать  основные этапы и закономерности исторического развития общества для формирования гражданской позиции.</w:t>
      </w:r>
    </w:p>
    <w:p>
      <w:pPr>
        <w:jc w:val="both"/>
        <w:rPr>
          <w:rFonts w:eastAsia="Calibri"/>
          <w:b w:val="0"/>
          <w:bCs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eastAsia="en-US"/>
        </w:rPr>
        <w:t>ОК-3</w:t>
      </w:r>
      <w:r>
        <w:rPr>
          <w:rFonts w:eastAsia="Calibri"/>
          <w:sz w:val="28"/>
          <w:szCs w:val="28"/>
          <w:lang w:val="ru-RU" w:eastAsia="en-US"/>
        </w:rPr>
        <w:t xml:space="preserve"> - </w:t>
      </w:r>
      <w:r>
        <w:rPr>
          <w:rFonts w:eastAsia="Calibri"/>
          <w:sz w:val="28"/>
          <w:szCs w:val="28"/>
          <w:lang w:eastAsia="en-US"/>
        </w:rPr>
        <w:t>Способность использовать знания в области общегуманитарных социальных наук (социология, психология, культурология и других) в контексте  своей социальной и профессиональной деятельности</w:t>
      </w:r>
      <w:r>
        <w:rPr>
          <w:rFonts w:eastAsia="Calibri"/>
          <w:b w:val="0"/>
          <w:bCs/>
          <w:sz w:val="28"/>
          <w:szCs w:val="28"/>
          <w:lang w:val="ru-RU" w:eastAsia="en-US"/>
        </w:rPr>
        <w:t>.</w:t>
      </w:r>
    </w:p>
    <w:p>
      <w:pPr>
        <w:jc w:val="both"/>
        <w:rPr>
          <w:rFonts w:eastAsia="Calibri"/>
          <w:b w:val="0"/>
          <w:bCs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eastAsia="en-US"/>
        </w:rPr>
        <w:t>ОПК-4</w:t>
      </w:r>
      <w:r>
        <w:rPr>
          <w:rFonts w:eastAsia="Calibri"/>
          <w:sz w:val="28"/>
          <w:szCs w:val="28"/>
          <w:lang w:val="ru-RU" w:eastAsia="en-US"/>
        </w:rPr>
        <w:t xml:space="preserve"> -</w:t>
      </w:r>
      <w:r>
        <w:rPr>
          <w:rFonts w:eastAsia="Calibri"/>
          <w:b w:val="0"/>
          <w:bCs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Способность ориентироваться в основных этапах и процессах развития отечественной литературы и журналистики, использовать этот опыт в практике профессиональной деятельности</w:t>
      </w:r>
      <w:r>
        <w:rPr>
          <w:rFonts w:eastAsia="Calibri"/>
          <w:b w:val="0"/>
          <w:bCs/>
          <w:sz w:val="28"/>
          <w:szCs w:val="28"/>
          <w:lang w:val="ru-RU" w:eastAsia="en-US"/>
        </w:rPr>
        <w:t>.</w:t>
      </w:r>
      <w:r>
        <w:rPr>
          <w:rFonts w:eastAsia="Calibri"/>
          <w:b w:val="0"/>
          <w:bCs/>
          <w:sz w:val="28"/>
          <w:szCs w:val="28"/>
          <w:lang w:eastAsia="en-US"/>
        </w:rPr>
        <w:t xml:space="preserve"> </w:t>
      </w:r>
    </w:p>
    <w:p>
      <w:pPr>
        <w:rPr>
          <w:rFonts w:eastAsia="Calibri"/>
          <w:sz w:val="28"/>
          <w:szCs w:val="28"/>
          <w:lang w:eastAsia="en-US"/>
        </w:rPr>
      </w:pPr>
    </w:p>
    <w:p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9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Семестр №</w:t>
            </w: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932" w:type="dxa"/>
            <w:vAlign w:val="top"/>
          </w:tcPr>
          <w:p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Постсоветское пространство: история и современность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932" w:type="dxa"/>
            <w:vAlign w:val="center"/>
          </w:tcPr>
          <w:p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Центральноазиатские государства на постсоветском пространстве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932" w:type="dxa"/>
            <w:vAlign w:val="center"/>
          </w:tcPr>
          <w:p>
            <w:pPr>
              <w:tabs>
                <w:tab w:val="right" w:leader="underscore" w:pos="9639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Прибалтика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Семестр №4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932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СНГ как феномен международных отношений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8932" w:type="dxa"/>
            <w:vAlign w:val="top"/>
          </w:tcPr>
          <w:p>
            <w:pPr>
              <w:tabs>
                <w:tab w:val="left" w:pos="195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Политическая динамика современной эры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Форма контроля</w:t>
      </w:r>
      <w:r>
        <w:rPr>
          <w:b/>
          <w:sz w:val="28"/>
          <w:szCs w:val="28"/>
          <w:lang w:val="ru-RU"/>
        </w:rPr>
        <w:t>:</w:t>
      </w:r>
      <w:bookmarkStart w:id="0" w:name="_GoBack"/>
      <w:bookmarkEnd w:id="0"/>
    </w:p>
    <w:p>
      <w:pPr>
        <w:numPr>
          <w:ilvl w:val="0"/>
          <w:numId w:val="0"/>
        </w:numPr>
        <w:ind w:firstLine="700" w:firstLineChars="0"/>
        <w:outlineLvl w:val="0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семестр №3</w:t>
      </w:r>
      <w:r>
        <w:rPr>
          <w:b w:val="0"/>
          <w:bCs/>
          <w:sz w:val="28"/>
          <w:szCs w:val="28"/>
        </w:rPr>
        <w:t xml:space="preserve"> - зачет</w:t>
      </w:r>
      <w:r>
        <w:rPr>
          <w:b w:val="0"/>
          <w:bCs/>
          <w:sz w:val="28"/>
          <w:szCs w:val="28"/>
          <w:lang w:val="ru-RU"/>
        </w:rPr>
        <w:t>;</w:t>
      </w:r>
    </w:p>
    <w:p>
      <w:pPr>
        <w:numPr>
          <w:ilvl w:val="0"/>
          <w:numId w:val="0"/>
        </w:numPr>
        <w:ind w:firstLine="700" w:firstLineChars="0"/>
        <w:outlineLvl w:val="0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семестр №4 - дифференцированный зачет.</w:t>
      </w:r>
    </w:p>
    <w:p>
      <w:pPr>
        <w:jc w:val="both"/>
        <w:rPr>
          <w:b/>
        </w:rPr>
      </w:pPr>
    </w:p>
    <w:p>
      <w:pPr>
        <w:rPr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E29BB"/>
    <w:multiLevelType w:val="singleLevel"/>
    <w:tmpl w:val="659E29BB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2F446AC3"/>
    <w:rsid w:val="3C362702"/>
    <w:rsid w:val="4475534F"/>
    <w:rsid w:val="65B7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2019-06-23T19:17:49Z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