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/>
        <w:tabs>
          <w:tab w:val="right" w:leader="underscore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Правовая защита результатов творческих работ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журанлистика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13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 w:eastAsia="en-US"/>
              </w:rPr>
              <w:t>ОПК-7</w:t>
            </w:r>
          </w:p>
        </w:tc>
        <w:tc>
          <w:tcPr>
            <w:tcW w:w="850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 руководствоваться в профессиональной деятельности правовыми нормами, регулирующими функционирование СМИ.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13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 w:eastAsia="en-US"/>
              </w:rPr>
              <w:t>ПК-6</w:t>
            </w:r>
          </w:p>
        </w:tc>
        <w:tc>
          <w:tcPr>
            <w:tcW w:w="850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Понятие и правовая природа интеллектуальной собственности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="-15"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Авторское право. Смежные права.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="-15"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</w:rPr>
              <w:t>Патентное право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="-15"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Права на средства индивидуализации юридического лица.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="-15"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Защита интеллектуальных прав. 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3BBB783D"/>
    <w:rsid w:val="40EF145F"/>
    <w:rsid w:val="464E675F"/>
    <w:rsid w:val="4B713BA6"/>
    <w:rsid w:val="583F71C0"/>
    <w:rsid w:val="657D03F2"/>
    <w:rsid w:val="65B713C4"/>
    <w:rsid w:val="67AC6A52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