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after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  <w:lang w:val="ru-RU"/>
        </w:rPr>
        <w:t>ория и практика речевой деятельности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6" w:type="dxa"/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ОПК-17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03" w:type="dxa"/>
            <w:shd w:val="clear" w:color="auto" w:fill="auto"/>
            <w:vAlign w:val="top"/>
          </w:tcPr>
          <w:p>
            <w:pPr>
              <w:spacing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6" w:type="dxa"/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ПК-6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03" w:type="dxa"/>
            <w:shd w:val="clear" w:color="auto" w:fill="auto"/>
            <w:vAlign w:val="top"/>
          </w:tcPr>
          <w:p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73" w:type="dxa"/>
            <w:vAlign w:val="center"/>
          </w:tcPr>
          <w:p>
            <w:pPr>
              <w:tabs>
                <w:tab w:val="right" w:leader="underscore" w:pos="9639"/>
              </w:tabs>
              <w:spacing w:after="0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Техника речи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 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ыхание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73" w:type="dxa"/>
            <w:vAlign w:val="top"/>
          </w:tcPr>
          <w:p>
            <w:pPr>
              <w:tabs>
                <w:tab w:val="right" w:leader="underscore" w:pos="9639"/>
              </w:tabs>
              <w:spacing w:after="0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Техника речи. Голос.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73" w:type="dxa"/>
            <w:vAlign w:val="center"/>
          </w:tcPr>
          <w:p>
            <w:pPr>
              <w:tabs>
                <w:tab w:val="right" w:leader="underscore" w:pos="9639"/>
              </w:tabs>
              <w:spacing w:after="0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Техника речи. Донесение содержания в момент коммуникации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дифференцированный </w:t>
      </w:r>
      <w:bookmarkStart w:id="2" w:name="_GoBack"/>
      <w:bookmarkEnd w:id="2"/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24B234E"/>
    <w:rsid w:val="184528A1"/>
    <w:rsid w:val="1E597A56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