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  <w:r>
        <w:rPr>
          <w:rFonts w:hint="default" w:cs="Times New Roman"/>
          <w:b/>
          <w:bCs/>
          <w:sz w:val="28"/>
          <w:szCs w:val="28"/>
          <w:lang w:val="ru-RU"/>
        </w:rPr>
        <w:t>Язык научного исследования</w:t>
      </w:r>
    </w:p>
    <w:p>
      <w:pPr>
        <w:jc w:val="center"/>
        <w:rPr>
          <w:rFonts w:hint="default" w:cs="Times New Roman"/>
          <w:b/>
          <w:bCs/>
          <w:sz w:val="28"/>
          <w:szCs w:val="28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6"/>
      <w:bookmarkStart w:id="1" w:name="OLE_LINK115"/>
      <w:r>
        <w:rPr>
          <w:bCs/>
          <w:sz w:val="28"/>
          <w:szCs w:val="28"/>
        </w:rPr>
        <w:t>42.03.0</w:t>
      </w:r>
      <w:bookmarkEnd w:id="0"/>
      <w:bookmarkEnd w:id="1"/>
      <w:r>
        <w:rPr>
          <w:bCs/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8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53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ПК-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>1 -</w:t>
            </w:r>
          </w:p>
        </w:tc>
        <w:tc>
          <w:tcPr>
            <w:tcW w:w="848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пособность выбирать актуальные темы, проблемы для публикаций, владеть методами сбора информации, ее проверки и анализа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53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ПК-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>2 -</w:t>
            </w:r>
          </w:p>
        </w:tc>
        <w:tc>
          <w:tcPr>
            <w:tcW w:w="848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153" w:type="dxa"/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lang w:val="ru-RU" w:eastAsia="en-US"/>
              </w:rPr>
              <w:t>ПК-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lang w:val="ru-RU" w:eastAsia="en-US"/>
              </w:rPr>
              <w:t>3 -</w:t>
            </w:r>
          </w:p>
        </w:tc>
        <w:tc>
          <w:tcPr>
            <w:tcW w:w="8486" w:type="dxa"/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</w:pP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</w:t>
            </w:r>
            <w:r>
              <w:rPr>
                <w:rFonts w:hint="default" w:eastAsia="Calibri" w:cs="Times New Roman"/>
                <w:b w:val="0"/>
                <w:bCs/>
                <w:sz w:val="28"/>
                <w:szCs w:val="28"/>
                <w:highlight w:val="none"/>
                <w:lang w:val="ru-RU" w:eastAsia="en-US"/>
              </w:rPr>
              <w:t>.</w:t>
            </w:r>
          </w:p>
        </w:tc>
      </w:tr>
    </w:tbl>
    <w:p>
      <w:pPr>
        <w:numPr>
          <w:ilvl w:val="0"/>
          <w:numId w:val="0"/>
        </w:numPr>
        <w:outlineLvl w:val="0"/>
        <w:rPr>
          <w:b/>
          <w:sz w:val="28"/>
          <w:szCs w:val="28"/>
        </w:rPr>
      </w:pPr>
    </w:p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50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92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9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Принципы и </w:t>
            </w:r>
            <w:bookmarkStart w:id="2" w:name="_GoBack"/>
            <w:bookmarkEnd w:id="2"/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методы научного исследования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9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Выбор темы исследования. Планирование и этапы научного исследования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9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Поиск информации и моделирование предмета исследования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9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Опытное изучение предмета исследования, обработка и обсуждение результатов исследования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8921" w:type="dxa"/>
            <w:vAlign w:val="top"/>
          </w:tcPr>
          <w:p>
            <w:pPr>
              <w:numPr>
                <w:ilvl w:val="0"/>
                <w:numId w:val="0"/>
              </w:numPr>
              <w:tabs>
                <w:tab w:val="right" w:leader="underscore" w:pos="9639"/>
              </w:tabs>
              <w:ind w:leftChars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iCs/>
                <w:sz w:val="28"/>
                <w:szCs w:val="28"/>
              </w:rPr>
              <w:t>Оформление, публикация и внедрение результатов исследования</w:t>
            </w:r>
            <w:r>
              <w:rPr>
                <w:rFonts w:hint="default"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outlineLvl w:val="0"/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>зачет</w:t>
      </w:r>
      <w:r>
        <w:rPr>
          <w:sz w:val="28"/>
          <w:szCs w:val="28"/>
          <w:lang w:val="ru-RU"/>
        </w:rPr>
        <w:t>.</w:t>
      </w:r>
    </w:p>
    <w:sectPr>
      <w:pgSz w:w="11906" w:h="16838"/>
      <w:pgMar w:top="850" w:right="850" w:bottom="537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1F9C103F"/>
    <w:rsid w:val="20686719"/>
    <w:rsid w:val="207D3A5F"/>
    <w:rsid w:val="2F446AC3"/>
    <w:rsid w:val="37C53848"/>
    <w:rsid w:val="394E78E1"/>
    <w:rsid w:val="3E9E3BC2"/>
    <w:rsid w:val="40EF145F"/>
    <w:rsid w:val="43F37C59"/>
    <w:rsid w:val="464E675F"/>
    <w:rsid w:val="4B713BA6"/>
    <w:rsid w:val="583F71C0"/>
    <w:rsid w:val="657D03F2"/>
    <w:rsid w:val="65B713C4"/>
    <w:rsid w:val="65F84CA0"/>
    <w:rsid w:val="763B366D"/>
    <w:rsid w:val="7BFB22CD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2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2019-06-23T21:17:38Z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