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A27A7F">
        <w:rPr>
          <w:rFonts w:ascii="Times New Roman" w:hAnsi="Times New Roman" w:cs="Times New Roman"/>
          <w:b/>
          <w:iCs/>
          <w:u w:val="single"/>
        </w:rPr>
        <w:t>Этнология и этнография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E03A31" w:rsidRPr="00E03A31">
        <w:rPr>
          <w:rFonts w:ascii="Times New Roman" w:hAnsi="Times New Roman"/>
          <w:b/>
          <w:bCs/>
          <w:u w:val="single"/>
        </w:rPr>
        <w:t>38.03.03 Управление персоналом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E03A31" w:rsidRPr="00E03A31">
        <w:rPr>
          <w:rFonts w:ascii="Times New Roman" w:hAnsi="Times New Roman" w:cs="Times New Roman"/>
          <w:b/>
          <w:u w:val="single"/>
        </w:rPr>
        <w:t>Управление интеллектуальным капиталом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6748C" w:rsidRDefault="00012058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E03A31">
        <w:rPr>
          <w:rFonts w:ascii="Times New Roman" w:eastAsia="Calibri" w:hAnsi="Times New Roman" w:cs="Times New Roman"/>
          <w:bCs/>
          <w:lang w:eastAsia="en-US"/>
        </w:rPr>
        <w:t>2</w:t>
      </w:r>
      <w:r>
        <w:rPr>
          <w:rFonts w:ascii="yandex-sans" w:hAnsi="yandex-sans"/>
          <w:sz w:val="23"/>
          <w:szCs w:val="23"/>
        </w:rPr>
        <w:t xml:space="preserve"> </w:t>
      </w:r>
      <w:r w:rsidR="00E03A31" w:rsidRPr="005A02DB">
        <w:rPr>
          <w:rFonts w:ascii="Times New Roman" w:eastAsia="Calibri" w:hAnsi="Times New Roman"/>
          <w:lang w:eastAsia="en-US"/>
        </w:rPr>
        <w:t xml:space="preserve">способностью анализировать основные </w:t>
      </w:r>
      <w:r w:rsidR="00E03A31">
        <w:rPr>
          <w:rFonts w:ascii="Times New Roman" w:eastAsia="Calibri" w:hAnsi="Times New Roman"/>
          <w:lang w:eastAsia="en-US"/>
        </w:rPr>
        <w:t>этапы и закономерности историче</w:t>
      </w:r>
      <w:r w:rsidR="00E03A31" w:rsidRPr="005A02DB">
        <w:rPr>
          <w:rFonts w:ascii="Times New Roman" w:eastAsia="Calibri" w:hAnsi="Times New Roman"/>
          <w:lang w:eastAsia="en-US"/>
        </w:rPr>
        <w:t>ского развития общества для формирования мировоззренческих позиций</w:t>
      </w:r>
    </w:p>
    <w:p w:rsidR="009B0034" w:rsidRDefault="00E03A31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ПК-15 </w:t>
      </w:r>
      <w:r w:rsidR="00A27A7F">
        <w:rPr>
          <w:rFonts w:ascii="yandex-sans" w:hAnsi="yandex-sans"/>
          <w:sz w:val="23"/>
          <w:szCs w:val="23"/>
        </w:rPr>
        <w:t xml:space="preserve"> </w:t>
      </w:r>
      <w:r w:rsidR="009B0034">
        <w:rPr>
          <w:rFonts w:ascii="yandex-sans" w:hAnsi="yandex-sans"/>
          <w:sz w:val="23"/>
          <w:szCs w:val="23"/>
        </w:rPr>
        <w:t xml:space="preserve"> </w:t>
      </w:r>
      <w:r w:rsidRPr="005A02DB">
        <w:rPr>
          <w:rFonts w:ascii="Times New Roman" w:hAnsi="Times New Roman"/>
        </w:rPr>
        <w:t>способностью планировать и осуществлять маркетинг товаров и услуг для использования в разработке программ социального развития предприятий, учреждений, территорий и иных общностей</w:t>
      </w:r>
    </w:p>
    <w:p w:rsidR="0046748C" w:rsidRDefault="00CF7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>ПК-</w:t>
      </w:r>
      <w:r w:rsidR="00A27A7F">
        <w:rPr>
          <w:rFonts w:ascii="Times New Roman" w:eastAsia="Calibri" w:hAnsi="Times New Roman" w:cs="Times New Roman"/>
          <w:bCs/>
          <w:lang w:eastAsia="en-US"/>
        </w:rPr>
        <w:t>2</w:t>
      </w:r>
      <w:r w:rsidR="00E03A31">
        <w:rPr>
          <w:rFonts w:ascii="Times New Roman" w:eastAsia="Calibri" w:hAnsi="Times New Roman" w:cs="Times New Roman"/>
          <w:bCs/>
          <w:lang w:eastAsia="en-US"/>
        </w:rPr>
        <w:t>9</w:t>
      </w:r>
      <w:r w:rsidR="00A27A7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03A31" w:rsidRPr="005A02DB">
        <w:rPr>
          <w:rFonts w:ascii="Times New Roman" w:hAnsi="Times New Roman"/>
        </w:rPr>
        <w:t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</w:r>
    </w:p>
    <w:p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E03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>
            <w:pPr>
              <w:rPr>
                <w:rFonts w:ascii="Times New Roman" w:hAnsi="Times New Roman" w:cs="Times New Roman"/>
              </w:rPr>
            </w:pPr>
            <w:r w:rsidRPr="00A27A7F">
              <w:rPr>
                <w:rFonts w:ascii="Times New Roman" w:hAnsi="Times New Roman" w:cs="Times New Roman"/>
              </w:rPr>
              <w:t>Этноло</w:t>
            </w:r>
            <w:r>
              <w:rPr>
                <w:rFonts w:ascii="Times New Roman" w:hAnsi="Times New Roman" w:cs="Times New Roman"/>
              </w:rPr>
              <w:t>гия и этнография в системе гуманитарных на</w:t>
            </w:r>
            <w:r w:rsidRPr="00A27A7F">
              <w:rPr>
                <w:rFonts w:ascii="Times New Roman" w:hAnsi="Times New Roman" w:cs="Times New Roman"/>
              </w:rPr>
              <w:t>ук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 w:rsidP="009B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Дописьменные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народы и великие гео</w:t>
            </w:r>
            <w:r w:rsidRPr="00A27A7F">
              <w:rPr>
                <w:rFonts w:ascii="Times New Roman" w:hAnsi="Times New Roman" w:cs="Times New Roman"/>
              </w:rPr>
              <w:t>графические открытия</w:t>
            </w:r>
          </w:p>
        </w:tc>
      </w:tr>
      <w:tr w:rsidR="009B003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34" w:rsidRPr="009B0034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наро</w:t>
            </w:r>
            <w:r w:rsidRPr="00A27A7F">
              <w:rPr>
                <w:rFonts w:ascii="Times New Roman" w:hAnsi="Times New Roman" w:cs="Times New Roman"/>
              </w:rPr>
              <w:t>дов Африки и Индии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Передней Азии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Америки и первые этно</w:t>
            </w:r>
            <w:r w:rsidRPr="00A27A7F">
              <w:rPr>
                <w:rFonts w:ascii="Times New Roman" w:hAnsi="Times New Roman" w:cs="Times New Roman"/>
              </w:rPr>
              <w:t>графические изыскания</w:t>
            </w:r>
          </w:p>
        </w:tc>
      </w:tr>
    </w:tbl>
    <w:p w:rsidR="0046748C" w:rsidRDefault="00A27A7F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</w:t>
      </w:r>
      <w:r w:rsidR="009B00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120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4B" w:rsidRDefault="00082D4B" w:rsidP="0046748C">
      <w:pPr>
        <w:spacing w:after="0" w:line="240" w:lineRule="auto"/>
      </w:pPr>
      <w:r>
        <w:separator/>
      </w:r>
    </w:p>
  </w:endnote>
  <w:endnote w:type="continuationSeparator" w:id="0">
    <w:p w:rsidR="00082D4B" w:rsidRDefault="00082D4B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250B8">
    <w:pPr>
      <w:rPr>
        <w:sz w:val="2"/>
        <w:szCs w:val="2"/>
      </w:rPr>
    </w:pPr>
    <w:r w:rsidRPr="001250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250B8">
    <w:pPr>
      <w:rPr>
        <w:sz w:val="2"/>
        <w:szCs w:val="2"/>
      </w:rPr>
    </w:pPr>
    <w:r w:rsidRPr="001250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1250B8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1250B8">
                  <w:fldChar w:fldCharType="begin"/>
                </w:r>
                <w:r w:rsidR="00012058">
                  <w:instrText xml:space="preserve"> PAGE \* MERGEFORMAT </w:instrText>
                </w:r>
                <w:r w:rsidRPr="001250B8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4B" w:rsidRDefault="00082D4B" w:rsidP="0046748C">
      <w:pPr>
        <w:spacing w:after="0" w:line="240" w:lineRule="auto"/>
      </w:pPr>
      <w:r>
        <w:separator/>
      </w:r>
    </w:p>
  </w:footnote>
  <w:footnote w:type="continuationSeparator" w:id="0">
    <w:p w:rsidR="00082D4B" w:rsidRDefault="00082D4B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01786B"/>
    <w:rsid w:val="00082D4B"/>
    <w:rsid w:val="0010503F"/>
    <w:rsid w:val="001250B8"/>
    <w:rsid w:val="0018760D"/>
    <w:rsid w:val="00190696"/>
    <w:rsid w:val="001978A7"/>
    <w:rsid w:val="001F1430"/>
    <w:rsid w:val="00245A75"/>
    <w:rsid w:val="002529BF"/>
    <w:rsid w:val="0046748C"/>
    <w:rsid w:val="00497DEE"/>
    <w:rsid w:val="004B5081"/>
    <w:rsid w:val="004B67F2"/>
    <w:rsid w:val="007B0EBD"/>
    <w:rsid w:val="008423B2"/>
    <w:rsid w:val="009B0034"/>
    <w:rsid w:val="00A11049"/>
    <w:rsid w:val="00A27A7F"/>
    <w:rsid w:val="00A50942"/>
    <w:rsid w:val="00AA6A94"/>
    <w:rsid w:val="00AF01A6"/>
    <w:rsid w:val="00C90B7F"/>
    <w:rsid w:val="00CF725D"/>
    <w:rsid w:val="00E03A31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2019-02-24T15:01:00Z</dcterms:created>
  <dcterms:modified xsi:type="dcterms:W3CDTF">2019-02-24T15:01:00Z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