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ПРАКТИКУМ ПО СОЦИОЛОГИИ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Направление подготовки: </w:t>
      </w:r>
      <w:bookmarkStart w:id="0" w:name="OLE_LINK115"/>
      <w:bookmarkStart w:id="1" w:name="OLE_LINK116"/>
      <w:bookmarkStart w:id="2" w:name="OLE_LINK129"/>
      <w:bookmarkStart w:id="3" w:name="OLE_LINK128"/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.03.01.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Социология</w:t>
      </w:r>
    </w:p>
    <w:p>
      <w:pPr>
        <w:widowControl/>
        <w:suppressAutoHyphens/>
        <w:spacing w:after="0" w:line="360" w:lineRule="auto"/>
        <w:contextualSpacing/>
        <w:jc w:val="both"/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sz w:val="28"/>
          <w:szCs w:val="28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sz w:val="28"/>
          <w:szCs w:val="28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after="0" w:line="240" w:lineRule="auto"/>
              <w:ind w:firstLine="708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  № 4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прикладной науки в системе социологических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применения прикладной социологии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3. Формы контроля –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экзамен.</w:t>
      </w:r>
    </w:p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50" o:spid="_x0000_s2050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_x0000_s2049" o:spid="_x0000_s2049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B74F0"/>
    <w:rsid w:val="001B78BF"/>
    <w:rsid w:val="001F6A26"/>
    <w:rsid w:val="002224C1"/>
    <w:rsid w:val="002C0B8E"/>
    <w:rsid w:val="00372BFE"/>
    <w:rsid w:val="00404036"/>
    <w:rsid w:val="004D2740"/>
    <w:rsid w:val="006B0C6C"/>
    <w:rsid w:val="008E6ECA"/>
    <w:rsid w:val="00BC521F"/>
    <w:rsid w:val="00C00C5F"/>
    <w:rsid w:val="00EF6258"/>
    <w:rsid w:val="05CD15DA"/>
    <w:rsid w:val="1A2063AF"/>
    <w:rsid w:val="2994578E"/>
    <w:rsid w:val="494324BB"/>
    <w:rsid w:val="77721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1017</Characters>
  <Lines>8</Lines>
  <Paragraphs>2</Paragraphs>
  <TotalTime>0</TotalTime>
  <ScaleCrop>false</ScaleCrop>
  <LinksUpToDate>false</LinksUpToDate>
  <CharactersWithSpaces>1193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2019-01-27T13:52:00Z</dcterms:created>
  <dc:creator>user</dc:creator>
  <cp:lastModifiedBy>user</cp:lastModifiedBy>
  <dcterms:modified xsi:type="dcterms:W3CDTF">2019-05-22T15:38:55Z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